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经典粗黑简"/>
          <w:b/>
          <w:bCs/>
          <w:sz w:val="28"/>
          <w:szCs w:val="28"/>
        </w:rPr>
      </w:pP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 w:eastAsia="经典粗黑简"/>
          <w:b/>
          <w:bCs/>
          <w:sz w:val="28"/>
          <w:szCs w:val="28"/>
        </w:rPr>
        <w:t>第</w:t>
      </w:r>
      <w:r>
        <w:rPr>
          <w:rFonts w:ascii="NEU-H6-S92" w:hAnsi="NEU-H6-S92"/>
          <w:b/>
          <w:bCs/>
          <w:sz w:val="28"/>
          <w:szCs w:val="28"/>
        </w:rPr>
        <w:t>5</w:t>
      </w:r>
      <w:r>
        <w:rPr>
          <w:rFonts w:hint="eastAsia" w:eastAsia="经典粗黑简"/>
          <w:b/>
          <w:bCs/>
          <w:sz w:val="28"/>
          <w:szCs w:val="28"/>
        </w:rPr>
        <w:t>讲</w:t>
      </w:r>
      <w:r>
        <w:rPr>
          <w:b/>
          <w:bCs/>
          <w:i/>
          <w:sz w:val="28"/>
          <w:szCs w:val="28"/>
        </w:rPr>
        <w:t>　</w:t>
      </w:r>
      <w:r>
        <w:rPr>
          <w:rFonts w:hint="eastAsia" w:eastAsia="经典粗黑简"/>
          <w:b/>
          <w:bCs/>
          <w:sz w:val="28"/>
          <w:szCs w:val="28"/>
        </w:rPr>
        <w:t>力的合成与分解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幼儿园小朋友搭积木时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将重为</w:t>
      </w:r>
      <w:r>
        <w:rPr>
          <w:i/>
          <w:sz w:val="18"/>
          <w:szCs w:val="18"/>
        </w:rPr>
        <w:t>G</w:t>
      </w:r>
      <w:r>
        <w:rPr>
          <w:rFonts w:hint="eastAsia"/>
          <w:sz w:val="18"/>
          <w:szCs w:val="18"/>
        </w:rPr>
        <w:t>的玩具汽车静置在薄板上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薄板发生了明显弯曲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所示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关于玩具汽车受到的作用力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不考虑摩擦力的影响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86460" cy="332105"/>
            <wp:effectExtent l="0" t="0" r="2540" b="10795"/>
            <wp:docPr id="158" name="22YLLJC-172.EPS" descr="id:21474934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22YLLJC-172.EPS" descr="id:2147493445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040" cy="3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</w:t>
      </w:r>
      <w:bookmarkStart w:id="0" w:name="_GoBack"/>
      <w:bookmarkEnd w:id="0"/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玩具汽车每个车轮受到薄板的弹力大小均为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玩具汽车每个车轮受到薄板的弹力方向均为竖直向上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薄板弯曲程度越大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每个车轮受到的弹力越大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玩具汽车受到的合力大小为</w:t>
      </w:r>
      <w:r>
        <w:rPr>
          <w:i/>
          <w:sz w:val="18"/>
          <w:szCs w:val="18"/>
        </w:rPr>
        <w:t>G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一物体受到共面的三个共点力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的作用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三力的矢量关系如图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(</w:t>
      </w:r>
      <w:r>
        <w:rPr>
          <w:rFonts w:hint="eastAsia"/>
          <w:sz w:val="18"/>
          <w:szCs w:val="18"/>
        </w:rPr>
        <w:t>小方格边长相等</w:t>
      </w:r>
      <w:r>
        <w:rPr>
          <w:rFonts w:ascii="方正宋三_GBK" w:hAnsi="方正宋三_GBK"/>
          <w:sz w:val="18"/>
          <w:szCs w:val="18"/>
        </w:rPr>
        <w:t>),</w:t>
      </w:r>
      <w:r>
        <w:rPr>
          <w:rFonts w:hint="eastAsia"/>
          <w:sz w:val="18"/>
          <w:szCs w:val="18"/>
        </w:rPr>
        <w:t>则下列说法正确的是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956945" cy="816610"/>
            <wp:effectExtent l="0" t="0" r="8255" b="8890"/>
            <wp:docPr id="159" name="Z80.EPS" descr="id:21474934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Z80.EPS" descr="id:2147493452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398" cy="81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2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三力的合力有最大值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1</w:t>
      </w:r>
      <w:r>
        <w:rPr>
          <w:i/>
          <w:sz w:val="18"/>
          <w:szCs w:val="18"/>
        </w:rPr>
        <w:t>+F</w:t>
      </w:r>
      <w:r>
        <w:rPr>
          <w:sz w:val="18"/>
          <w:szCs w:val="18"/>
          <w:vertAlign w:val="subscript"/>
        </w:rPr>
        <w:t>2</w:t>
      </w:r>
      <w:r>
        <w:rPr>
          <w:i/>
          <w:sz w:val="18"/>
          <w:szCs w:val="18"/>
        </w:rPr>
        <w:t>+F</w:t>
      </w:r>
      <w:r>
        <w:rPr>
          <w:sz w:val="18"/>
          <w:szCs w:val="18"/>
          <w:vertAlign w:val="subscript"/>
        </w:rPr>
        <w:t>3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方向不确定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三力的合力有唯一值</w:t>
      </w:r>
      <w:r>
        <w:rPr>
          <w:sz w:val="18"/>
          <w:szCs w:val="18"/>
        </w:rPr>
        <w:t>3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方向与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同向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三力的合力有唯一值</w:t>
      </w:r>
      <w:r>
        <w:rPr>
          <w:sz w:val="18"/>
          <w:szCs w:val="18"/>
        </w:rPr>
        <w:t>2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方向与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同向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由题给条件无法求出合力大小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所示是汽车</w:t>
      </w:r>
      <w:r>
        <w:rPr>
          <w:sz w:val="18"/>
          <w:szCs w:val="18"/>
        </w:rPr>
        <w:t>45°</w:t>
      </w:r>
      <w:r>
        <w:rPr>
          <w:rFonts w:hint="eastAsia"/>
          <w:sz w:val="18"/>
          <w:szCs w:val="18"/>
        </w:rPr>
        <w:t>极限爬坡时的照片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汽车缓慢逐步沿斜坡攀爬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斜坡的倾角逐渐增大至</w:t>
      </w:r>
      <w:r>
        <w:rPr>
          <w:sz w:val="18"/>
          <w:szCs w:val="18"/>
        </w:rPr>
        <w:t>45°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下列关于汽车这一爬坡过程的说法中正确的是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81735" cy="794385"/>
            <wp:effectExtent l="0" t="0" r="12065" b="5715"/>
            <wp:docPr id="160" name="21yl-105.jpg" descr="id:21474934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21yl-105.jpg" descr="id:2147493459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288" cy="79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3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坡的倾角越大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汽车对坡面的压力也越大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汽车受到沿坡面向下、不断减小的滑动摩擦力作用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汽车受到沿坡面向上、不断增大的静摩擦力作用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若汽车能顺利爬坡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则车胎与坡面间的最大静摩擦力至少为车重的大小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4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甲所示为一种门后挂钩的照片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相邻挂钩之间的距离为</w:t>
      </w:r>
      <w:r>
        <w:rPr>
          <w:sz w:val="18"/>
          <w:szCs w:val="18"/>
        </w:rPr>
        <w:t>7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图乙中斜挎包的宽度约为</w:t>
      </w:r>
      <w:r>
        <w:rPr>
          <w:sz w:val="18"/>
          <w:szCs w:val="18"/>
        </w:rPr>
        <w:t>21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在斜挎包的质量一定的条件下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为了使悬挂时背包带受力最小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下列措施正确的是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15060" cy="880745"/>
            <wp:effectExtent l="0" t="0" r="2540" b="8255"/>
            <wp:docPr id="161" name="21YL-106.EPS" descr="id:21474934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21YL-106.EPS" descr="id:214749346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640" cy="8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16610" cy="926465"/>
            <wp:effectExtent l="0" t="0" r="8890" b="635"/>
            <wp:docPr id="162" name="21YL-107.EPS" descr="id:21474934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21YL-107.EPS" descr="id:214749347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840" cy="9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4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随意挂在一个钩子上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使背包带跨过两个挂钩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使背包带跨过三个挂钩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使背包带跨过四个挂钩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有如图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甲所示的桥梁结构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如图乙所示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两根钢索对塔柱的拉力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作用在同一点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它们合起来对塔柱的作用效果与塔柱受到一个竖直向下的力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一样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这样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塔柱便能稳固地伫立在桥墩上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不会因钢索的牵拉而发生倾斜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甚至倒下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如果塔柱两侧的钢索不能呈对称分布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如图丙所示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i/>
          <w:sz w:val="18"/>
          <w:szCs w:val="18"/>
        </w:rPr>
        <w:t>AC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与竖直方向夹角分别为</w:t>
      </w:r>
      <w:r>
        <w:rPr>
          <w:i/>
          <w:sz w:val="18"/>
          <w:szCs w:val="18"/>
        </w:rPr>
        <w:t>α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β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要保持塔柱所受的合力竖直向下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钢索</w:t>
      </w:r>
      <w:r>
        <w:rPr>
          <w:i/>
          <w:sz w:val="18"/>
          <w:szCs w:val="18"/>
        </w:rPr>
        <w:t>AC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的拉力大小之比</w:t>
      </w:r>
      <w:r>
        <w:rPr>
          <w:i/>
          <w:sz w:val="18"/>
          <w:szCs w:val="18"/>
        </w:rPr>
        <w:t>F</w:t>
      </w:r>
      <w:r>
        <w:rPr>
          <w:i/>
          <w:sz w:val="18"/>
          <w:szCs w:val="18"/>
          <w:vertAlign w:val="subscript"/>
        </w:rPr>
        <w:t>AC</w:t>
      </w:r>
      <w:r>
        <w:rPr>
          <w:i/>
          <w:sz w:val="18"/>
          <w:szCs w:val="18"/>
        </w:rPr>
        <w:t>∶F</w:t>
      </w:r>
      <w:r>
        <w:rPr>
          <w:i/>
          <w:sz w:val="18"/>
          <w:szCs w:val="18"/>
          <w:vertAlign w:val="subscript"/>
        </w:rPr>
        <w:t>AB</w:t>
      </w:r>
      <w:r>
        <w:rPr>
          <w:rFonts w:hint="eastAsia"/>
          <w:sz w:val="18"/>
          <w:szCs w:val="18"/>
        </w:rPr>
        <w:t>应为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47090" cy="630555"/>
            <wp:effectExtent l="0" t="0" r="3810" b="4445"/>
            <wp:docPr id="163" name="20YLZY96.EPS" descr="id:21474934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20YLZY96.EPS" descr="id:214749348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6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31520" cy="542290"/>
            <wp:effectExtent l="0" t="0" r="5080" b="3810"/>
            <wp:docPr id="164" name="20YLZY97.EPS" descr="id:21474934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20YLZY97.EPS" descr="id:214749348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53440" cy="581660"/>
            <wp:effectExtent l="0" t="0" r="10160" b="2540"/>
            <wp:docPr id="165" name="20YLZY98.EPS" descr="id:21474934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20YLZY98.EPS" descr="id:214749349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560" cy="58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5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sin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α∶</w:t>
      </w:r>
      <w:r>
        <w:rPr>
          <w:sz w:val="18"/>
          <w:szCs w:val="18"/>
        </w:rPr>
        <w:t>sin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β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</w:t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sin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β∶</w:t>
      </w:r>
      <w:r>
        <w:rPr>
          <w:sz w:val="18"/>
          <w:szCs w:val="18"/>
        </w:rPr>
        <w:t>sin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α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cos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β∶</w:t>
      </w:r>
      <w:r>
        <w:rPr>
          <w:sz w:val="18"/>
          <w:szCs w:val="18"/>
        </w:rPr>
        <w:t>cos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α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cos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α∶</w:t>
      </w:r>
      <w:r>
        <w:rPr>
          <w:sz w:val="18"/>
          <w:szCs w:val="18"/>
        </w:rPr>
        <w:t>cos</w:t>
      </w:r>
      <w:r>
        <w:rPr>
          <w:rFonts w:hint="eastAsia"/>
          <w:sz w:val="18"/>
          <w:szCs w:val="18"/>
        </w:rPr>
        <w:t xml:space="preserve"> </w:t>
      </w:r>
      <w:r>
        <w:rPr>
          <w:i/>
          <w:sz w:val="18"/>
          <w:szCs w:val="18"/>
        </w:rPr>
        <w:t>β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6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一质量均匀的实心圆球被直径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所在的平面一分为二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以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沿水平和竖直两种不同方向放置在光滑支架上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处于静止状态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两半球间的作用力分别为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F'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已知支架间的距离为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长度的一半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F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w:rPr>
                <w:rFonts w:ascii="Cambria Math" w:hAnsi="Cambria Math"/>
                <w:sz w:val="18"/>
                <w:szCs w:val="18"/>
              </w:rPr>
              <m:t>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>等于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569595" cy="539115"/>
            <wp:effectExtent l="0" t="0" r="1905" b="6985"/>
            <wp:docPr id="166" name="22YLLJC-173.EPS" descr="id:21474935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22YLLJC-173.EPS" descr="id:214749350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88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69595" cy="627380"/>
            <wp:effectExtent l="0" t="0" r="1905" b="7620"/>
            <wp:docPr id="167" name="22YLLJC-174.EPS" descr="id:21474935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22YLLJC-174.EPS" descr="id:2147493508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880" cy="6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6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sz w:val="18"/>
                <w:szCs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</m:rad>
      </m:oMath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7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7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倾角为</w:t>
      </w:r>
      <w:r>
        <w:rPr>
          <w:i/>
          <w:sz w:val="18"/>
          <w:szCs w:val="18"/>
        </w:rPr>
        <w:t>θ=</w:t>
      </w:r>
      <w:r>
        <w:rPr>
          <w:sz w:val="18"/>
          <w:szCs w:val="18"/>
        </w:rPr>
        <w:t>30°</w:t>
      </w:r>
      <w:r>
        <w:rPr>
          <w:rFonts w:hint="eastAsia"/>
          <w:sz w:val="18"/>
          <w:szCs w:val="18"/>
        </w:rPr>
        <w:t>的斜面体放在水平地面上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一个重为</w:t>
      </w:r>
      <w:r>
        <w:rPr>
          <w:i/>
          <w:sz w:val="18"/>
          <w:szCs w:val="18"/>
        </w:rPr>
        <w:t>G</w:t>
      </w:r>
      <w:r>
        <w:rPr>
          <w:rFonts w:hint="eastAsia"/>
          <w:sz w:val="18"/>
          <w:szCs w:val="18"/>
        </w:rPr>
        <w:t>的球在水平力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的作用下静止于光滑斜面上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此时水平力的大小为</w:t>
      </w:r>
      <w:r>
        <w:rPr>
          <w:i/>
          <w:sz w:val="18"/>
          <w:szCs w:val="18"/>
        </w:rPr>
        <w:t>F</w:t>
      </w:r>
      <w:r>
        <w:rPr>
          <w:rFonts w:ascii="方正宋三_GBK" w:hAnsi="方正宋三_GBK"/>
          <w:sz w:val="18"/>
          <w:szCs w:val="18"/>
        </w:rPr>
        <w:t>;</w:t>
      </w:r>
      <w:r>
        <w:rPr>
          <w:rFonts w:hint="eastAsia"/>
          <w:sz w:val="18"/>
          <w:szCs w:val="18"/>
        </w:rPr>
        <w:t>若将力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从水平方向逆时针转过某一角度后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仍保持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的大小不变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且球和斜面体依然保持静止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此时水平地面对斜面体的摩擦力为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那么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rFonts w:hint="eastAsia"/>
          <w:sz w:val="18"/>
          <w:szCs w:val="18"/>
        </w:rPr>
        <w:t>的大小分别是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51560" cy="551180"/>
            <wp:effectExtent l="0" t="0" r="2540" b="7620"/>
            <wp:docPr id="168" name="22YLLJC-176.EPS" descr="id:21474935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22YLLJC-176.EPS" descr="id:214749351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5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7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.F=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  <w:r>
        <w:rPr>
          <w:rFonts w:ascii="方正宋三_GBK" w:hAnsi="方正宋三_GBK"/>
          <w:sz w:val="18"/>
          <w:szCs w:val="18"/>
        </w:rPr>
        <w:t>,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i/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.F=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  <w:r>
        <w:rPr>
          <w:rFonts w:ascii="方正宋三_GBK" w:hAnsi="方正宋三_GBK"/>
          <w:sz w:val="18"/>
          <w:szCs w:val="18"/>
        </w:rPr>
        <w:t>,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i/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.F=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  <w:r>
        <w:rPr>
          <w:rFonts w:ascii="方正宋三_GBK" w:hAnsi="方正宋三_GBK"/>
          <w:sz w:val="18"/>
          <w:szCs w:val="18"/>
        </w:rPr>
        <w:t>,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i/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.F=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  <w:r>
        <w:rPr>
          <w:rFonts w:ascii="方正宋三_GBK" w:hAnsi="方正宋三_GBK"/>
          <w:sz w:val="18"/>
          <w:szCs w:val="18"/>
        </w:rPr>
        <w:t>,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f</w:t>
      </w:r>
      <w:r>
        <w:rPr>
          <w:i/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</m:rad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G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8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8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两个质量均为</w:t>
      </w:r>
      <w:r>
        <w:rPr>
          <w:i/>
          <w:sz w:val="18"/>
          <w:szCs w:val="18"/>
        </w:rPr>
        <w:t>m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的小球套在竖直放置的光滑支架上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支架的夹角为</w:t>
      </w:r>
      <w:r>
        <w:rPr>
          <w:sz w:val="18"/>
          <w:szCs w:val="18"/>
        </w:rPr>
        <w:t>120°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用轻绳将两球与质量为</w:t>
      </w:r>
      <w:r>
        <w:rPr>
          <w:i/>
          <w:sz w:val="18"/>
          <w:szCs w:val="18"/>
        </w:rPr>
        <w:t>m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的小球连接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绳与杆构成一个菱形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i/>
          <w:sz w:val="18"/>
          <w:szCs w:val="18"/>
        </w:rPr>
        <w:t>m</w:t>
      </w:r>
      <w:r>
        <w:rPr>
          <w:sz w:val="18"/>
          <w:szCs w:val="18"/>
          <w:vertAlign w:val="subscript"/>
        </w:rPr>
        <w:t>1</w:t>
      </w:r>
      <w:r>
        <w:rPr>
          <w:i/>
          <w:sz w:val="18"/>
          <w:szCs w:val="18"/>
        </w:rPr>
        <w:t>∶m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为</w:t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94435" cy="603250"/>
            <wp:effectExtent l="0" t="0" r="12065" b="6350"/>
            <wp:docPr id="169" name="Z88.EPS" descr="id:21474935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Z88.EPS" descr="id:2147493522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4840" cy="60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8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i/>
          <w:sz w:val="18"/>
          <w:szCs w:val="18"/>
        </w:rPr>
        <w:t>∶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          </w:t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i/>
          <w:sz w:val="18"/>
          <w:szCs w:val="18"/>
        </w:rPr>
        <w:t>∶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             </w:t>
      </w: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i/>
          <w:sz w:val="18"/>
          <w:szCs w:val="18"/>
        </w:rPr>
        <w:t>∶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sz w:val="18"/>
                <w:szCs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</m:rad>
      </m:oMath>
      <w:r>
        <w:rPr>
          <w:rFonts w:hint="eastAsia"/>
          <w:sz w:val="18"/>
          <w:szCs w:val="18"/>
        </w:rPr>
        <w:t xml:space="preserve">           </w:t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sz w:val="18"/>
                <w:szCs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</m:rad>
      </m:oMath>
      <w:r>
        <w:rPr>
          <w:i/>
          <w:sz w:val="18"/>
          <w:szCs w:val="18"/>
        </w:rPr>
        <w:t>∶</w:t>
      </w:r>
      <w:r>
        <w:rPr>
          <w:sz w:val="18"/>
          <w:szCs w:val="18"/>
        </w:rPr>
        <w:t>2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9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相同的两物块分别放置在对接的两固定斜面上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两物块处在同一水平面内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物块之间用细绳连接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在绳的中点加一竖直向上的拉力</w:t>
      </w:r>
      <w:r>
        <w:rPr>
          <w:i/>
          <w:sz w:val="18"/>
          <w:szCs w:val="18"/>
        </w:rPr>
        <w:t>F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使两物块处于静止状态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当增大拉力</w:t>
      </w:r>
      <w:r>
        <w:rPr>
          <w:i/>
          <w:sz w:val="18"/>
          <w:szCs w:val="18"/>
        </w:rPr>
        <w:t>F</w:t>
      </w:r>
      <w:r>
        <w:rPr>
          <w:rFonts w:hint="eastAsia"/>
          <w:sz w:val="18"/>
          <w:szCs w:val="18"/>
        </w:rPr>
        <w:t>后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系统仍处于静止状态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426210" cy="810260"/>
            <wp:effectExtent l="0" t="0" r="8890" b="2540"/>
            <wp:docPr id="171" name="Z92.EPS" descr="id:21474935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Z92.EPS" descr="id:214749353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6320" cy="8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9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绳的拉力变大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物块与斜面间的摩擦力变小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物块对斜面的压力变小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物块受到的合力不变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10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轻质工件通过轻质杆与滑块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连接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作用在滑块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上的推力</w:t>
      </w:r>
      <w:r>
        <w:rPr>
          <w:i/>
          <w:sz w:val="18"/>
          <w:szCs w:val="18"/>
        </w:rPr>
        <w:t>F=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整个装置静止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此时</w:t>
      </w:r>
      <w:r>
        <w:rPr>
          <w:i/>
          <w:sz w:val="18"/>
          <w:szCs w:val="18"/>
        </w:rPr>
        <w:t>α=</w:t>
      </w:r>
      <w:r>
        <w:rPr>
          <w:sz w:val="18"/>
          <w:szCs w:val="18"/>
        </w:rPr>
        <w:t>30°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摩擦力不计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则通过连杆使工件受到的向上的压力为</w:t>
      </w:r>
      <w:r>
        <w:rPr>
          <w:sz w:val="18"/>
          <w:szCs w:val="18"/>
        </w:rPr>
        <w:tab/>
      </w:r>
      <w:r>
        <w:rPr>
          <w:rFonts w:ascii="方正宋三_GBK" w:hAnsi="方正宋三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78865" cy="1231265"/>
            <wp:effectExtent l="0" t="0" r="635" b="635"/>
            <wp:docPr id="172" name="Z93.EPS" descr="id:21474935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Z93.EPS" descr="id:214749354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8920" cy="12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10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100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sz w:val="18"/>
                <w:szCs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e>
        </m:rad>
      </m:oMath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200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11</w:t>
      </w:r>
      <w:r>
        <w:rPr>
          <w:rFonts w:hint="eastAsia"/>
          <w:sz w:val="18"/>
          <w:szCs w:val="18"/>
        </w:rPr>
        <w:t>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光滑斜面的倾角为</w:t>
      </w:r>
      <w:r>
        <w:rPr>
          <w:i/>
          <w:sz w:val="18"/>
          <w:szCs w:val="18"/>
        </w:rPr>
        <w:t>θ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斜面上有两个完全相同的小球分别用固定的光滑挡板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挡住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挡板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沿竖直方向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挡板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垂直于斜面</w:t>
      </w:r>
      <w:r>
        <w:rPr>
          <w:i/>
          <w:sz w:val="18"/>
          <w:szCs w:val="18"/>
        </w:rPr>
        <w:t>.</w:t>
      </w:r>
    </w:p>
    <w:p>
      <w:pPr>
        <w:spacing w:line="360" w:lineRule="auto"/>
        <w:rPr>
          <w:sz w:val="18"/>
          <w:szCs w:val="18"/>
        </w:rPr>
      </w:pPr>
      <w:r>
        <w:rPr>
          <w:rFonts w:ascii="方正宋三_GBK" w:hAnsi="方正宋三_GBK"/>
          <w:sz w:val="18"/>
          <w:szCs w:val="18"/>
        </w:rPr>
        <w:t>(</w:t>
      </w:r>
      <w:r>
        <w:rPr>
          <w:sz w:val="18"/>
          <w:szCs w:val="18"/>
        </w:rPr>
        <w:t>1</w:t>
      </w:r>
      <w:r>
        <w:rPr>
          <w:rFonts w:ascii="方正宋三_GBK" w:hAnsi="方正宋三_GBK"/>
          <w:sz w:val="18"/>
          <w:szCs w:val="18"/>
        </w:rPr>
        <w:t>)</w:t>
      </w:r>
      <w:r>
        <w:rPr>
          <w:rFonts w:hint="eastAsia"/>
          <w:sz w:val="18"/>
          <w:szCs w:val="18"/>
        </w:rPr>
        <w:t>求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两挡板受到两个小球的压力大小的比值</w:t>
      </w:r>
      <w:r>
        <w:rPr>
          <w:rFonts w:ascii="方正宋三_GBK" w:hAnsi="方正宋三_GBK"/>
          <w:sz w:val="18"/>
          <w:szCs w:val="18"/>
        </w:rPr>
        <w:t>;</w:t>
      </w:r>
    </w:p>
    <w:p>
      <w:pPr>
        <w:spacing w:line="360" w:lineRule="auto"/>
        <w:rPr>
          <w:sz w:val="18"/>
          <w:szCs w:val="18"/>
        </w:rPr>
      </w:pPr>
      <w:r>
        <w:rPr>
          <w:rFonts w:ascii="方正宋三_GBK" w:hAnsi="方正宋三_GBK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rFonts w:ascii="方正宋三_GBK" w:hAnsi="方正宋三_GBK"/>
          <w:sz w:val="18"/>
          <w:szCs w:val="18"/>
        </w:rPr>
        <w:t>)</w:t>
      </w:r>
      <w:r>
        <w:rPr>
          <w:rFonts w:hint="eastAsia"/>
          <w:sz w:val="18"/>
          <w:szCs w:val="18"/>
        </w:rPr>
        <w:t>求斜面受到两个小球的压力大小的比值</w:t>
      </w:r>
      <w:r>
        <w:rPr>
          <w:i/>
          <w:sz w:val="18"/>
          <w:szCs w:val="18"/>
        </w:rPr>
        <w:t>.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13435" cy="596900"/>
            <wp:effectExtent l="0" t="0" r="12065" b="0"/>
            <wp:docPr id="173" name="20YLZY105.EPS" descr="id:21474935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20YLZY105.EPS" descr="id:2147493550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3960" cy="5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11</w:t>
      </w:r>
    </w:p>
    <w:p>
      <w:pPr>
        <w:spacing w:line="360" w:lineRule="auto"/>
        <w:rPr>
          <w:sz w:val="18"/>
          <w:szCs w:val="18"/>
        </w:rPr>
      </w:pPr>
    </w:p>
    <w:p>
      <w:pPr>
        <w:spacing w:line="360" w:lineRule="auto"/>
        <w:rPr>
          <w:sz w:val="18"/>
          <w:szCs w:val="18"/>
        </w:rPr>
      </w:pPr>
    </w:p>
    <w:p>
      <w:pPr>
        <w:spacing w:line="360" w:lineRule="auto"/>
        <w:rPr>
          <w:sz w:val="18"/>
          <w:szCs w:val="18"/>
        </w:rPr>
      </w:pPr>
    </w:p>
    <w:p>
      <w:pPr>
        <w:spacing w:line="360" w:lineRule="auto"/>
        <w:rPr>
          <w:sz w:val="18"/>
          <w:szCs w:val="18"/>
        </w:rPr>
      </w:pPr>
    </w:p>
    <w:p>
      <w:pPr>
        <w:spacing w:line="360" w:lineRule="auto"/>
        <w:rPr>
          <w:sz w:val="18"/>
          <w:szCs w:val="18"/>
        </w:rPr>
      </w:pPr>
    </w:p>
    <w:p>
      <w:pPr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12</w:t>
      </w:r>
      <w:r>
        <w:rPr>
          <w:rFonts w:hint="eastAsia"/>
          <w:sz w:val="18"/>
          <w:szCs w:val="18"/>
        </w:rPr>
        <w:t>甲所示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将由两根短杆组成的一个自锁定起重吊钩放入被吊的空罐内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使其张开一定的夹角压紧在罐壁上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其内部结构如图乙所示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当钢绳向上提起时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两杆对罐壁越压越紧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当摩擦力足够大时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就能将重物提升起来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且罐越重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短杆提供的压力越大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若罐的质量为</w:t>
      </w:r>
      <w:r>
        <w:rPr>
          <w:i/>
          <w:sz w:val="18"/>
          <w:szCs w:val="18"/>
        </w:rPr>
        <w:t>m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短杆与竖直方向的夹角</w:t>
      </w:r>
      <w:r>
        <w:rPr>
          <w:i/>
          <w:sz w:val="18"/>
          <w:szCs w:val="18"/>
        </w:rPr>
        <w:t>θ=</w:t>
      </w:r>
      <w:r>
        <w:rPr>
          <w:sz w:val="18"/>
          <w:szCs w:val="18"/>
        </w:rPr>
        <w:t>60°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则吊起该罐时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求短杆对罐壁的压力大小</w:t>
      </w:r>
      <w:r>
        <w:rPr>
          <w:i/>
          <w:sz w:val="18"/>
          <w:szCs w:val="18"/>
        </w:rPr>
        <w:t>.</w:t>
      </w:r>
      <w:r>
        <w:rPr>
          <w:rFonts w:ascii="方正宋三_GBK" w:hAnsi="方正宋三_GBK"/>
          <w:sz w:val="18"/>
          <w:szCs w:val="18"/>
        </w:rPr>
        <w:t>(</w:t>
      </w:r>
      <w:r>
        <w:rPr>
          <w:rFonts w:hint="eastAsia"/>
          <w:sz w:val="18"/>
          <w:szCs w:val="18"/>
        </w:rPr>
        <w:t>短杆的质量不计</w:t>
      </w:r>
      <w:r>
        <w:rPr>
          <w:rFonts w:ascii="方正宋三_GBK" w:hAnsi="方正宋三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</w:t>
      </w:r>
      <w:r>
        <w:rPr>
          <w:rFonts w:ascii="方正宋三_GBK" w:hAnsi="方正宋三_GBK"/>
          <w:sz w:val="18"/>
          <w:szCs w:val="18"/>
        </w:rPr>
        <w:t>)</w:t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86460" cy="1374140"/>
            <wp:effectExtent l="0" t="0" r="2540" b="10160"/>
            <wp:docPr id="174" name="Z98.EPS" descr="id:21474935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Z98.EPS" descr="id:2147493557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7040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82625" cy="941705"/>
            <wp:effectExtent l="0" t="0" r="3175" b="10795"/>
            <wp:docPr id="175" name="Z99.EPS" descr="id:21474935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Z99.EPS" descr="id:2147493564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2920" cy="94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18"/>
          <w:szCs w:val="18"/>
        </w:rPr>
      </w:pPr>
      <w:r>
        <w:rPr>
          <w:rFonts w:hint="eastAsia" w:eastAsia="方正书宋_GBK"/>
          <w:sz w:val="18"/>
          <w:szCs w:val="18"/>
        </w:rPr>
        <w:t>图</w:t>
      </w:r>
      <w:r>
        <w:rPr>
          <w:sz w:val="18"/>
          <w:szCs w:val="18"/>
        </w:rPr>
        <w:t>K5</w:t>
      </w:r>
      <w:r>
        <w:rPr>
          <w:i/>
          <w:sz w:val="18"/>
          <w:szCs w:val="18"/>
        </w:rPr>
        <w:t>-</w:t>
      </w:r>
      <w:r>
        <w:rPr>
          <w:sz w:val="18"/>
          <w:szCs w:val="18"/>
        </w:rPr>
        <w:t>12</w:t>
      </w:r>
    </w:p>
    <w:p>
      <w:pPr>
        <w:spacing w:line="240" w:lineRule="auto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NEU-H6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2020506000000020003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96597"/>
    <w:rsid w:val="01E96597"/>
    <w:rsid w:val="12F95C66"/>
    <w:rsid w:val="76B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2021-08-07T10:27:00Z</dcterms:created>
  <dc:creator>陶兴灯</dc:creator>
  <cp:lastModifiedBy>白瓷微温</cp:lastModifiedBy>
  <dcterms:modified xsi:type="dcterms:W3CDTF">2021-08-07T14:02:27Z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B40DB549A836498A88CE4D2BDF12BDCB</vt:lpwstr>
  </property>
</Properties>
</file>