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26" w:rsidRDefault="00622F26" w:rsidP="00622F26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b/>
          <w:bCs/>
          <w:color w:val="AB1942"/>
          <w:spacing w:val="23"/>
          <w:sz w:val="21"/>
        </w:rPr>
      </w:pPr>
      <w:r w:rsidRPr="00F776B9">
        <w:rPr>
          <w:rFonts w:ascii="微软雅黑" w:hAnsi="微软雅黑" w:cs="宋体" w:hint="eastAsia"/>
          <w:bCs/>
          <w:color w:val="021EAA"/>
          <w:spacing w:val="23"/>
          <w:sz w:val="32"/>
          <w:szCs w:val="32"/>
        </w:rPr>
        <w:t>第一单元</w:t>
      </w:r>
      <w:r w:rsidRPr="00F776B9">
        <w:rPr>
          <w:rFonts w:ascii="宋体" w:eastAsia="宋体" w:hAnsi="宋体" w:cs="宋体"/>
          <w:bCs/>
          <w:color w:val="021EAA"/>
          <w:sz w:val="32"/>
          <w:szCs w:val="32"/>
        </w:rPr>
        <w:t> 生活与消费</w:t>
      </w:r>
      <w:r w:rsidRPr="00F776B9">
        <w:rPr>
          <w:rFonts w:ascii="宋体" w:eastAsia="宋体" w:hAnsi="宋体" w:cs="宋体"/>
          <w:sz w:val="32"/>
          <w:szCs w:val="32"/>
        </w:rPr>
        <w:t>C组 2019高考题+2021模拟题</w:t>
      </w:r>
      <w:r w:rsidRPr="00F776B9">
        <w:rPr>
          <w:rFonts w:ascii="宋体" w:eastAsia="宋体" w:hAnsi="宋体" w:cs="宋体"/>
          <w:sz w:val="32"/>
          <w:szCs w:val="32"/>
        </w:rPr>
        <w:br/>
      </w:r>
    </w:p>
    <w:p w:rsidR="00622F26" w:rsidRDefault="00622F26" w:rsidP="00622F26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b/>
          <w:bCs/>
          <w:color w:val="AB1942"/>
          <w:spacing w:val="23"/>
          <w:sz w:val="21"/>
        </w:rPr>
      </w:pPr>
      <w:r w:rsidRPr="00F776B9">
        <w:rPr>
          <w:rFonts w:ascii="微软雅黑" w:hAnsi="微软雅黑" w:cs="宋体" w:hint="eastAsia"/>
          <w:b/>
          <w:bCs/>
          <w:color w:val="AB1942"/>
          <w:spacing w:val="23"/>
          <w:sz w:val="21"/>
        </w:rPr>
        <w:t>【参考答案】</w:t>
      </w:r>
    </w:p>
    <w:p w:rsidR="00622F26" w:rsidRPr="00F776B9" w:rsidRDefault="00622F26" w:rsidP="00622F26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pacing w:val="23"/>
          <w:sz w:val="21"/>
          <w:szCs w:val="21"/>
        </w:rPr>
      </w:pPr>
      <w:r>
        <w:rPr>
          <w:rFonts w:ascii="微软雅黑" w:hAnsi="微软雅黑" w:cs="宋体" w:hint="eastAsia"/>
          <w:b/>
          <w:bCs/>
          <w:color w:val="AB1942"/>
          <w:spacing w:val="23"/>
          <w:sz w:val="21"/>
        </w:rPr>
        <w:t>1-6DCBAAC   7-12BABACA</w:t>
      </w:r>
    </w:p>
    <w:p w:rsidR="00622F26" w:rsidRPr="00F776B9" w:rsidRDefault="00622F26" w:rsidP="00622F26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pacing w:val="23"/>
          <w:sz w:val="21"/>
          <w:szCs w:val="21"/>
        </w:rPr>
      </w:pPr>
    </w:p>
    <w:p w:rsidR="00622F26" w:rsidRPr="00F776B9" w:rsidRDefault="00622F26" w:rsidP="00622F26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333333"/>
          <w:spacing w:val="23"/>
          <w:sz w:val="21"/>
          <w:szCs w:val="21"/>
        </w:rPr>
      </w:pPr>
      <w:r w:rsidRPr="00F776B9">
        <w:rPr>
          <w:rFonts w:ascii="微软雅黑" w:hAnsi="微软雅黑" w:cs="宋体" w:hint="eastAsia"/>
          <w:color w:val="333333"/>
          <w:spacing w:val="23"/>
          <w:sz w:val="21"/>
          <w:szCs w:val="21"/>
        </w:rPr>
        <w:t>    13.①使用价值和价值是商品的二因素，任何商品都是使用价值和价值的统一体。</w:t>
      </w:r>
    </w:p>
    <w:p w:rsidR="00622F26" w:rsidRPr="00F776B9" w:rsidRDefault="00622F26" w:rsidP="00622F26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333333"/>
          <w:spacing w:val="23"/>
          <w:sz w:val="21"/>
          <w:szCs w:val="21"/>
        </w:rPr>
      </w:pPr>
      <w:r w:rsidRPr="00F776B9">
        <w:rPr>
          <w:rFonts w:ascii="微软雅黑" w:hAnsi="微软雅黑" w:cs="宋体" w:hint="eastAsia"/>
          <w:color w:val="333333"/>
          <w:spacing w:val="23"/>
          <w:sz w:val="21"/>
          <w:szCs w:val="21"/>
        </w:rPr>
        <w:t>    ②电商企业要顺利地卖出商品，实现商品价值，就必须重视商品的使用价值，提高商品质量，更好地满足消费者需求。</w:t>
      </w:r>
    </w:p>
    <w:p w:rsidR="00622F26" w:rsidRPr="00F776B9" w:rsidRDefault="00622F26" w:rsidP="00622F26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333333"/>
          <w:spacing w:val="23"/>
          <w:sz w:val="21"/>
          <w:szCs w:val="21"/>
        </w:rPr>
      </w:pPr>
      <w:r w:rsidRPr="00F776B9">
        <w:rPr>
          <w:rFonts w:ascii="微软雅黑" w:hAnsi="微软雅黑" w:cs="宋体" w:hint="eastAsia"/>
          <w:color w:val="333333"/>
          <w:spacing w:val="23"/>
          <w:sz w:val="21"/>
          <w:szCs w:val="21"/>
        </w:rPr>
        <w:t>    14.原因:收入是消费的前提和基础，我国居民收入仍然不高，社会保障体系不健全影响消费信心；储蓄率过高，收入差距较大，制约了社会总体消费水平的提高。</w:t>
      </w:r>
    </w:p>
    <w:p w:rsidR="00622F26" w:rsidRPr="00F776B9" w:rsidRDefault="00622F26" w:rsidP="00622F26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333333"/>
          <w:spacing w:val="23"/>
          <w:sz w:val="21"/>
          <w:szCs w:val="21"/>
        </w:rPr>
      </w:pPr>
      <w:r w:rsidRPr="00F776B9">
        <w:rPr>
          <w:rFonts w:ascii="微软雅黑" w:hAnsi="微软雅黑" w:cs="宋体" w:hint="eastAsia"/>
          <w:color w:val="333333"/>
          <w:spacing w:val="23"/>
          <w:sz w:val="21"/>
          <w:szCs w:val="21"/>
        </w:rPr>
        <w:t>    措施:坚持以经济建设为中心，推动经济更高质量发展,加快实施乡村振兴战略和推动新型城镇化；努力扩大就业，鼓励创业创新，增加居民收人,特别是增加农村居民收入；健全社会保障体系，提高社会保障水平，补齐民生短板，增强居民消费信心；完善收入分配制度，缩小收入差距，着力增加低收入群体收入，扩大中等收入群体。</w:t>
      </w:r>
    </w:p>
    <w:p w:rsidR="00622F26" w:rsidRDefault="00622F26" w:rsidP="00622F26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E5BC2"/>
    <w:rsid w:val="00622F2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2010-12-31T18:58:00Z</dcterms:modified>
</cp:coreProperties>
</file>